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565DBC" w:rsidRDefault="000A4B5C" w:rsidP="00755D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B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565DBC" w:rsidRDefault="000A4B5C" w:rsidP="00755D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5DB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65DB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65DBC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565DBC" w:rsidRDefault="000A4B5C" w:rsidP="00755D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565DBC" w:rsidRDefault="000A4B5C" w:rsidP="00755D9E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5D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565DBC" w:rsidRDefault="000A4B5C" w:rsidP="00755D9E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565DBC" w:rsidRDefault="000A4B5C" w:rsidP="00755D9E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9C0B74" w:rsidRDefault="006E6410" w:rsidP="00755D9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10.12.2013 года № 17/12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66576" w:rsidRPr="00565DBC" w:rsidRDefault="00666576" w:rsidP="00755D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5DBC" w:rsidRPr="00565DBC" w:rsidRDefault="00565DBC" w:rsidP="00755D9E">
      <w:pPr>
        <w:pStyle w:val="21"/>
        <w:shd w:val="clear" w:color="auto" w:fill="auto"/>
        <w:tabs>
          <w:tab w:val="left" w:leader="underscore" w:pos="5713"/>
        </w:tabs>
        <w:spacing w:after="0" w:line="240" w:lineRule="auto"/>
        <w:ind w:left="20" w:right="4220"/>
        <w:contextualSpacing/>
        <w:jc w:val="both"/>
        <w:rPr>
          <w:b/>
          <w:sz w:val="28"/>
          <w:szCs w:val="28"/>
        </w:rPr>
      </w:pPr>
      <w:r w:rsidRPr="00565DBC">
        <w:rPr>
          <w:b/>
          <w:sz w:val="28"/>
          <w:szCs w:val="28"/>
        </w:rPr>
        <w:t>Об утверждении Порядка согласования установки</w:t>
      </w:r>
      <w:r>
        <w:rPr>
          <w:b/>
          <w:sz w:val="28"/>
          <w:szCs w:val="28"/>
        </w:rPr>
        <w:t xml:space="preserve"> </w:t>
      </w:r>
      <w:r w:rsidRPr="00565DBC">
        <w:rPr>
          <w:b/>
          <w:sz w:val="28"/>
          <w:szCs w:val="28"/>
        </w:rPr>
        <w:t xml:space="preserve">ограждающего устройства на придомовой территории в муниципальном округе </w:t>
      </w:r>
      <w:proofErr w:type="gramStart"/>
      <w:r w:rsidRPr="00565DBC">
        <w:rPr>
          <w:b/>
          <w:sz w:val="28"/>
          <w:szCs w:val="28"/>
        </w:rPr>
        <w:t>Западное</w:t>
      </w:r>
      <w:proofErr w:type="gramEnd"/>
      <w:r w:rsidRPr="00565DBC">
        <w:rPr>
          <w:b/>
          <w:sz w:val="28"/>
          <w:szCs w:val="28"/>
        </w:rPr>
        <w:t xml:space="preserve"> Дегунино</w:t>
      </w:r>
    </w:p>
    <w:p w:rsidR="00565DBC" w:rsidRPr="00565DBC" w:rsidRDefault="00565DBC" w:rsidP="00755D9E">
      <w:pPr>
        <w:pStyle w:val="21"/>
        <w:shd w:val="clear" w:color="auto" w:fill="auto"/>
        <w:tabs>
          <w:tab w:val="left" w:leader="underscore" w:pos="5713"/>
        </w:tabs>
        <w:spacing w:after="0" w:line="240" w:lineRule="auto"/>
        <w:ind w:left="20" w:right="4220"/>
        <w:contextualSpacing/>
        <w:jc w:val="both"/>
        <w:rPr>
          <w:sz w:val="28"/>
          <w:szCs w:val="28"/>
        </w:rPr>
      </w:pPr>
    </w:p>
    <w:p w:rsidR="00565DBC" w:rsidRDefault="00565DBC" w:rsidP="00755D9E">
      <w:pPr>
        <w:pStyle w:val="3"/>
        <w:shd w:val="clear" w:color="auto" w:fill="auto"/>
        <w:tabs>
          <w:tab w:val="left" w:pos="993"/>
          <w:tab w:val="left" w:leader="underscore" w:pos="2276"/>
        </w:tabs>
        <w:spacing w:before="0" w:after="0" w:line="240" w:lineRule="auto"/>
        <w:ind w:left="20" w:right="20" w:firstLine="547"/>
        <w:contextualSpacing/>
        <w:jc w:val="both"/>
        <w:rPr>
          <w:sz w:val="28"/>
          <w:szCs w:val="28"/>
        </w:rPr>
      </w:pPr>
      <w:r w:rsidRPr="00565DBC">
        <w:rPr>
          <w:sz w:val="28"/>
          <w:szCs w:val="28"/>
        </w:rPr>
        <w:t>В соответствии с постановлением Правительства Москвы от 2 июля 2013 года №</w:t>
      </w:r>
      <w:r w:rsidR="00265251">
        <w:rPr>
          <w:sz w:val="28"/>
          <w:szCs w:val="28"/>
        </w:rPr>
        <w:t xml:space="preserve"> </w:t>
      </w:r>
      <w:r w:rsidRPr="00565DBC">
        <w:rPr>
          <w:sz w:val="28"/>
          <w:szCs w:val="28"/>
        </w:rPr>
        <w:t>428-1111 «О порядке установки ограждений на придомовых территориях в городе Москве»</w:t>
      </w:r>
      <w:r>
        <w:rPr>
          <w:sz w:val="28"/>
          <w:szCs w:val="28"/>
        </w:rPr>
        <w:t>,</w:t>
      </w:r>
    </w:p>
    <w:p w:rsidR="00565DBC" w:rsidRPr="00755D9E" w:rsidRDefault="00565DBC" w:rsidP="00755D9E">
      <w:pPr>
        <w:pStyle w:val="3"/>
        <w:shd w:val="clear" w:color="auto" w:fill="auto"/>
        <w:tabs>
          <w:tab w:val="left" w:pos="993"/>
          <w:tab w:val="left" w:leader="underscore" w:pos="2276"/>
        </w:tabs>
        <w:spacing w:before="0" w:after="0" w:line="240" w:lineRule="auto"/>
        <w:ind w:left="20" w:right="20" w:firstLine="547"/>
        <w:contextualSpacing/>
        <w:jc w:val="both"/>
        <w:rPr>
          <w:b/>
          <w:sz w:val="28"/>
          <w:szCs w:val="28"/>
        </w:rPr>
      </w:pPr>
      <w:r w:rsidRPr="00755D9E">
        <w:rPr>
          <w:b/>
          <w:sz w:val="28"/>
          <w:szCs w:val="28"/>
        </w:rPr>
        <w:t>Совет депутатов решил:</w:t>
      </w:r>
    </w:p>
    <w:p w:rsidR="00565DBC" w:rsidRPr="00565DBC" w:rsidRDefault="00565DBC" w:rsidP="00755D9E">
      <w:pPr>
        <w:pStyle w:val="3"/>
        <w:numPr>
          <w:ilvl w:val="0"/>
          <w:numId w:val="17"/>
        </w:numPr>
        <w:shd w:val="clear" w:color="auto" w:fill="auto"/>
        <w:tabs>
          <w:tab w:val="left" w:pos="993"/>
          <w:tab w:val="left" w:pos="1042"/>
          <w:tab w:val="left" w:pos="5026"/>
          <w:tab w:val="left" w:pos="6222"/>
          <w:tab w:val="left" w:pos="9212"/>
          <w:tab w:val="left" w:leader="underscore" w:pos="2276"/>
        </w:tabs>
        <w:spacing w:before="0" w:after="0" w:line="240" w:lineRule="auto"/>
        <w:ind w:left="20" w:right="20" w:firstLine="547"/>
        <w:contextualSpacing/>
        <w:jc w:val="both"/>
        <w:rPr>
          <w:sz w:val="28"/>
          <w:szCs w:val="28"/>
        </w:rPr>
      </w:pPr>
      <w:r w:rsidRPr="00565DBC">
        <w:rPr>
          <w:sz w:val="28"/>
          <w:szCs w:val="28"/>
        </w:rPr>
        <w:t>Утвердить Порядок согласования установки ограждающего устройства на придомовой территории</w:t>
      </w:r>
      <w:r w:rsidR="00755D9E">
        <w:rPr>
          <w:sz w:val="28"/>
          <w:szCs w:val="28"/>
        </w:rPr>
        <w:t xml:space="preserve"> </w:t>
      </w:r>
      <w:r w:rsidRPr="00565DBC">
        <w:rPr>
          <w:sz w:val="28"/>
          <w:szCs w:val="28"/>
        </w:rPr>
        <w:t>в</w:t>
      </w:r>
      <w:r w:rsidR="00755D9E">
        <w:rPr>
          <w:sz w:val="28"/>
          <w:szCs w:val="28"/>
        </w:rPr>
        <w:t xml:space="preserve"> </w:t>
      </w:r>
      <w:r w:rsidRPr="00565DBC">
        <w:rPr>
          <w:sz w:val="28"/>
          <w:szCs w:val="28"/>
        </w:rPr>
        <w:t>муниципальном</w:t>
      </w:r>
      <w:r w:rsidR="00755D9E">
        <w:rPr>
          <w:sz w:val="28"/>
          <w:szCs w:val="28"/>
        </w:rPr>
        <w:t xml:space="preserve"> округе </w:t>
      </w:r>
      <w:proofErr w:type="gramStart"/>
      <w:r w:rsidR="00755D9E">
        <w:rPr>
          <w:sz w:val="28"/>
          <w:szCs w:val="28"/>
        </w:rPr>
        <w:t>Западное</w:t>
      </w:r>
      <w:proofErr w:type="gramEnd"/>
      <w:r w:rsidR="00755D9E">
        <w:rPr>
          <w:sz w:val="28"/>
          <w:szCs w:val="28"/>
        </w:rPr>
        <w:t xml:space="preserve"> Дегунино согласно приложению к настоящему решению.</w:t>
      </w:r>
    </w:p>
    <w:p w:rsidR="008F693F" w:rsidRPr="00565DBC" w:rsidRDefault="00565DBC" w:rsidP="00755D9E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20"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DB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755D9E" w:rsidRPr="006A63C9">
        <w:rPr>
          <w:rFonts w:ascii="Times New Roman" w:hAnsi="Times New Roman" w:cs="Times New Roman"/>
          <w:sz w:val="28"/>
          <w:szCs w:val="28"/>
        </w:rPr>
        <w:t>в газете «Вестник Западное Дегунино».</w:t>
      </w:r>
    </w:p>
    <w:p w:rsidR="00B35919" w:rsidRPr="00565DBC" w:rsidRDefault="00B35919" w:rsidP="00755D9E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D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64C93" w:rsidRPr="00565DBC">
        <w:rPr>
          <w:rFonts w:ascii="Times New Roman" w:hAnsi="Times New Roman" w:cs="Times New Roman"/>
          <w:sz w:val="28"/>
          <w:szCs w:val="28"/>
        </w:rPr>
        <w:t>г</w:t>
      </w:r>
      <w:r w:rsidRPr="00565DBC">
        <w:rPr>
          <w:rFonts w:ascii="Times New Roman" w:hAnsi="Times New Roman" w:cs="Times New Roman"/>
          <w:sz w:val="28"/>
          <w:szCs w:val="28"/>
        </w:rPr>
        <w:t>лаву</w:t>
      </w:r>
      <w:r w:rsidR="00042F9B" w:rsidRPr="00565DBC">
        <w:rPr>
          <w:rFonts w:ascii="Times New Roman" w:hAnsi="Times New Roman" w:cs="Times New Roman"/>
          <w:sz w:val="28"/>
          <w:szCs w:val="28"/>
        </w:rPr>
        <w:t xml:space="preserve"> </w:t>
      </w:r>
      <w:r w:rsidRPr="00565DB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65DB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65DBC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565DBC" w:rsidRDefault="006D726C" w:rsidP="00755D9E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26C" w:rsidRPr="00565DBC" w:rsidRDefault="006D726C" w:rsidP="00755D9E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9C0B74" w:rsidTr="005B1114">
        <w:tc>
          <w:tcPr>
            <w:tcW w:w="4998" w:type="dxa"/>
            <w:shd w:val="clear" w:color="auto" w:fill="auto"/>
          </w:tcPr>
          <w:p w:rsidR="0026758F" w:rsidRPr="009C0B74" w:rsidRDefault="0026758F" w:rsidP="00755D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9C0B74" w:rsidRDefault="0026758F" w:rsidP="00755D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9C0B74" w:rsidRDefault="0026758F" w:rsidP="00755D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9C0B74" w:rsidRDefault="0026758F" w:rsidP="00755D9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74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Default="0026758F" w:rsidP="00755D9E">
      <w:pPr>
        <w:pStyle w:val="a6"/>
        <w:ind w:left="0" w:right="-5"/>
        <w:contextualSpacing/>
        <w:rPr>
          <w:szCs w:val="28"/>
        </w:rPr>
      </w:pPr>
    </w:p>
    <w:p w:rsidR="00755D9E" w:rsidRDefault="00755D9E" w:rsidP="00755D9E">
      <w:pPr>
        <w:pStyle w:val="a6"/>
        <w:ind w:left="0" w:right="-5"/>
        <w:contextualSpacing/>
        <w:rPr>
          <w:szCs w:val="28"/>
        </w:rPr>
      </w:pPr>
    </w:p>
    <w:p w:rsidR="00755D9E" w:rsidRDefault="00755D9E" w:rsidP="00755D9E">
      <w:pPr>
        <w:pStyle w:val="a6"/>
        <w:ind w:left="0" w:right="-5"/>
        <w:contextualSpacing/>
        <w:rPr>
          <w:szCs w:val="28"/>
        </w:rPr>
      </w:pPr>
    </w:p>
    <w:p w:rsidR="00755D9E" w:rsidRDefault="00755D9E" w:rsidP="00755D9E">
      <w:pPr>
        <w:pStyle w:val="a6"/>
        <w:ind w:left="0" w:right="-5"/>
        <w:contextualSpacing/>
        <w:rPr>
          <w:szCs w:val="28"/>
        </w:rPr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6E6410" w:rsidRDefault="006E6410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265251" w:rsidRDefault="00265251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265251" w:rsidRDefault="00265251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Default="00755D9E" w:rsidP="00755D9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55D9E" w:rsidRPr="00755D9E" w:rsidRDefault="00755D9E" w:rsidP="00FD39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755D9E">
        <w:lastRenderedPageBreak/>
        <w:t>Приложение к решению Совета депутатов муниципального округа Западное Дегунино</w:t>
      </w:r>
    </w:p>
    <w:p w:rsidR="00755D9E" w:rsidRDefault="00755D9E" w:rsidP="00FD396A">
      <w:pPr>
        <w:pStyle w:val="a6"/>
        <w:ind w:left="5245" w:right="-5"/>
        <w:contextualSpacing/>
        <w:rPr>
          <w:sz w:val="24"/>
          <w:szCs w:val="24"/>
        </w:rPr>
      </w:pPr>
      <w:r w:rsidRPr="00755D9E">
        <w:rPr>
          <w:sz w:val="24"/>
          <w:szCs w:val="24"/>
        </w:rPr>
        <w:t xml:space="preserve">от </w:t>
      </w:r>
      <w:r w:rsidR="006E6410">
        <w:rPr>
          <w:sz w:val="24"/>
          <w:szCs w:val="24"/>
        </w:rPr>
        <w:t>«10»</w:t>
      </w:r>
      <w:r w:rsidRPr="00755D9E">
        <w:rPr>
          <w:sz w:val="24"/>
          <w:szCs w:val="24"/>
        </w:rPr>
        <w:t xml:space="preserve"> декабря 2013 года № </w:t>
      </w:r>
      <w:r w:rsidR="006E6410">
        <w:rPr>
          <w:sz w:val="24"/>
          <w:szCs w:val="24"/>
        </w:rPr>
        <w:t>17/123</w:t>
      </w:r>
      <w:bookmarkStart w:id="0" w:name="_GoBack"/>
      <w:bookmarkEnd w:id="0"/>
    </w:p>
    <w:p w:rsidR="00755D9E" w:rsidRDefault="00755D9E" w:rsidP="00755D9E">
      <w:pPr>
        <w:pStyle w:val="a6"/>
        <w:ind w:left="4820" w:right="-5"/>
        <w:contextualSpacing/>
        <w:rPr>
          <w:sz w:val="24"/>
          <w:szCs w:val="24"/>
        </w:rPr>
      </w:pPr>
    </w:p>
    <w:p w:rsidR="00755D9E" w:rsidRDefault="00755D9E" w:rsidP="00755D9E">
      <w:pPr>
        <w:pStyle w:val="a6"/>
        <w:ind w:left="4820" w:right="-5"/>
        <w:contextualSpacing/>
        <w:rPr>
          <w:sz w:val="24"/>
          <w:szCs w:val="24"/>
        </w:rPr>
      </w:pPr>
    </w:p>
    <w:p w:rsidR="00755D9E" w:rsidRPr="00FD396A" w:rsidRDefault="00755D9E" w:rsidP="00755D9E">
      <w:pPr>
        <w:pStyle w:val="13"/>
        <w:keepNext/>
        <w:keepLines/>
        <w:shd w:val="clear" w:color="auto" w:fill="auto"/>
        <w:spacing w:before="0" w:line="240" w:lineRule="auto"/>
        <w:ind w:firstLine="0"/>
        <w:contextualSpacing/>
        <w:jc w:val="center"/>
        <w:rPr>
          <w:b/>
          <w:sz w:val="22"/>
          <w:szCs w:val="22"/>
        </w:rPr>
      </w:pPr>
      <w:bookmarkStart w:id="1" w:name="bookmark0"/>
      <w:r w:rsidRPr="00FD396A">
        <w:rPr>
          <w:b/>
          <w:sz w:val="22"/>
          <w:szCs w:val="22"/>
        </w:rPr>
        <w:t>Порядок</w:t>
      </w:r>
      <w:bookmarkEnd w:id="1"/>
    </w:p>
    <w:p w:rsidR="00755D9E" w:rsidRPr="00FD396A" w:rsidRDefault="00755D9E" w:rsidP="00755D9E">
      <w:pPr>
        <w:pStyle w:val="13"/>
        <w:keepNext/>
        <w:keepLines/>
        <w:shd w:val="clear" w:color="auto" w:fill="auto"/>
        <w:tabs>
          <w:tab w:val="left" w:leader="underscore" w:pos="8550"/>
        </w:tabs>
        <w:spacing w:before="0" w:line="240" w:lineRule="auto"/>
        <w:ind w:firstLine="0"/>
        <w:contextualSpacing/>
        <w:jc w:val="center"/>
        <w:rPr>
          <w:sz w:val="22"/>
          <w:szCs w:val="22"/>
        </w:rPr>
      </w:pPr>
      <w:bookmarkStart w:id="2" w:name="bookmark1"/>
      <w:r w:rsidRPr="00FD396A">
        <w:rPr>
          <w:b/>
          <w:sz w:val="22"/>
          <w:szCs w:val="22"/>
        </w:rPr>
        <w:t>согласования установки ограждающего устройства на придомовой территории в муниципальном округе</w:t>
      </w:r>
      <w:bookmarkEnd w:id="2"/>
      <w:r w:rsidRPr="00FD396A">
        <w:rPr>
          <w:b/>
          <w:sz w:val="22"/>
          <w:szCs w:val="22"/>
        </w:rPr>
        <w:t xml:space="preserve"> </w:t>
      </w:r>
      <w:proofErr w:type="gramStart"/>
      <w:r w:rsidRPr="00FD396A">
        <w:rPr>
          <w:b/>
          <w:sz w:val="22"/>
          <w:szCs w:val="22"/>
        </w:rPr>
        <w:t>Западное</w:t>
      </w:r>
      <w:proofErr w:type="gramEnd"/>
      <w:r w:rsidRPr="00FD396A">
        <w:rPr>
          <w:b/>
          <w:sz w:val="22"/>
          <w:szCs w:val="22"/>
        </w:rPr>
        <w:t xml:space="preserve"> Дегунино</w:t>
      </w:r>
    </w:p>
    <w:p w:rsidR="00755D9E" w:rsidRPr="00FD396A" w:rsidRDefault="00755D9E" w:rsidP="00755D9E">
      <w:pPr>
        <w:pStyle w:val="13"/>
        <w:keepNext/>
        <w:keepLines/>
        <w:shd w:val="clear" w:color="auto" w:fill="auto"/>
        <w:tabs>
          <w:tab w:val="left" w:leader="underscore" w:pos="8550"/>
        </w:tabs>
        <w:spacing w:before="0" w:line="240" w:lineRule="auto"/>
        <w:ind w:firstLine="567"/>
        <w:contextualSpacing/>
        <w:jc w:val="both"/>
        <w:rPr>
          <w:sz w:val="22"/>
          <w:szCs w:val="22"/>
        </w:rPr>
      </w:pPr>
    </w:p>
    <w:p w:rsidR="00755D9E" w:rsidRPr="00FD396A" w:rsidRDefault="00755D9E" w:rsidP="00755D9E">
      <w:pPr>
        <w:pStyle w:val="13"/>
        <w:keepNext/>
        <w:keepLines/>
        <w:shd w:val="clear" w:color="auto" w:fill="auto"/>
        <w:tabs>
          <w:tab w:val="left" w:pos="851"/>
          <w:tab w:val="left" w:leader="underscore" w:pos="8550"/>
        </w:tabs>
        <w:spacing w:before="0" w:line="240" w:lineRule="auto"/>
        <w:ind w:firstLine="567"/>
        <w:contextualSpacing/>
        <w:jc w:val="both"/>
        <w:rPr>
          <w:sz w:val="22"/>
          <w:szCs w:val="22"/>
        </w:rPr>
      </w:pPr>
      <w:r w:rsidRPr="00FD396A">
        <w:rPr>
          <w:sz w:val="22"/>
          <w:szCs w:val="22"/>
        </w:rPr>
        <w:t>Настоящий Порядок регулирует вопросы согласования Советом депутатов муниципального округа Западное Дегунино (далее - Совет депутатов) установки ограждающего устройства на придомовой территории в муниципальном округе Западное Дегунино (далее - установка ограждающего устройства).</w:t>
      </w:r>
    </w:p>
    <w:p w:rsidR="00755D9E" w:rsidRPr="00FD396A" w:rsidRDefault="00755D9E" w:rsidP="00755D9E">
      <w:pPr>
        <w:pStyle w:val="3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67"/>
        <w:contextualSpacing/>
        <w:jc w:val="both"/>
        <w:rPr>
          <w:sz w:val="22"/>
          <w:szCs w:val="22"/>
        </w:rPr>
      </w:pPr>
      <w:r w:rsidRPr="00FD396A">
        <w:rPr>
          <w:sz w:val="22"/>
          <w:szCs w:val="22"/>
        </w:rPr>
        <w:t>Организацию работы по согласованию Советом депутатов установки ограждающего устройства осуществляет глава муниципального округа (далее - глава муниципального округа) и профильная комиссия Совета депутатов (далее - профильная комиссия).</w:t>
      </w:r>
    </w:p>
    <w:p w:rsidR="00755D9E" w:rsidRPr="00FD396A" w:rsidRDefault="00755D9E" w:rsidP="00755D9E">
      <w:pPr>
        <w:pStyle w:val="3"/>
        <w:numPr>
          <w:ilvl w:val="0"/>
          <w:numId w:val="22"/>
        </w:numPr>
        <w:shd w:val="clear" w:color="auto" w:fill="auto"/>
        <w:tabs>
          <w:tab w:val="left" w:pos="851"/>
          <w:tab w:val="left" w:pos="1052"/>
        </w:tabs>
        <w:spacing w:before="0" w:after="0" w:line="240" w:lineRule="auto"/>
        <w:ind w:firstLine="567"/>
        <w:contextualSpacing/>
        <w:jc w:val="both"/>
        <w:rPr>
          <w:sz w:val="22"/>
          <w:szCs w:val="22"/>
        </w:rPr>
      </w:pPr>
      <w:r w:rsidRPr="00FD396A">
        <w:rPr>
          <w:sz w:val="22"/>
          <w:szCs w:val="22"/>
        </w:rPr>
        <w:t>Решение общего собрания собственников помещений в многоквартирном доме с приложением проекта размещения ограждающего устройства (далее - решение общего собрания) подлежит регистрации в день его поступления в Совет депутатов, и не позднее следующего дня после поступления направляется главой муниципального округа депутатам Совета депутатов (далее - депутаты) и в профильную комиссию.</w:t>
      </w:r>
    </w:p>
    <w:p w:rsidR="00755D9E" w:rsidRPr="00FD396A" w:rsidRDefault="00755D9E" w:rsidP="00755D9E">
      <w:pPr>
        <w:pStyle w:val="3"/>
        <w:numPr>
          <w:ilvl w:val="0"/>
          <w:numId w:val="22"/>
        </w:numPr>
        <w:shd w:val="clear" w:color="auto" w:fill="auto"/>
        <w:tabs>
          <w:tab w:val="left" w:pos="851"/>
          <w:tab w:val="left" w:pos="1167"/>
        </w:tabs>
        <w:spacing w:before="0" w:after="0" w:line="240" w:lineRule="auto"/>
        <w:ind w:firstLine="567"/>
        <w:contextualSpacing/>
        <w:jc w:val="both"/>
        <w:rPr>
          <w:sz w:val="22"/>
          <w:szCs w:val="22"/>
        </w:rPr>
      </w:pPr>
      <w:proofErr w:type="gramStart"/>
      <w:r w:rsidRPr="00FD396A">
        <w:rPr>
          <w:sz w:val="22"/>
          <w:szCs w:val="22"/>
        </w:rPr>
        <w:t>Профильная комиссия обеспечивает рассмотрение решения общего собрания на заседании комиссии с участием лица, 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лицо),</w:t>
      </w:r>
      <w:r w:rsidR="008E30B3" w:rsidRPr="00FD396A">
        <w:rPr>
          <w:sz w:val="22"/>
          <w:szCs w:val="22"/>
        </w:rPr>
        <w:t xml:space="preserve"> </w:t>
      </w:r>
      <w:r w:rsidRPr="00FD396A">
        <w:rPr>
          <w:sz w:val="22"/>
          <w:szCs w:val="22"/>
        </w:rPr>
        <w:t>и подготовку заключения комиссии, проектов решений Совета депутатов о согласовании установки ограждающего устройства либо об отказе в согласовании.</w:t>
      </w:r>
      <w:proofErr w:type="gramEnd"/>
    </w:p>
    <w:p w:rsidR="00755D9E" w:rsidRPr="00FD396A" w:rsidRDefault="00755D9E" w:rsidP="00755D9E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sz w:val="22"/>
          <w:szCs w:val="22"/>
        </w:rPr>
      </w:pPr>
      <w:r w:rsidRPr="00FD396A">
        <w:rPr>
          <w:sz w:val="22"/>
          <w:szCs w:val="22"/>
        </w:rPr>
        <w:t>В случае если ограждающее устройство планируется установить для регулирования въезда и (или) выезда транспортных средств на придомовые территории двух и более многоквартирных домов, то на заседании профильной комиссии рассматриваются решения общих собраний всех таких многоквартирных домов.</w:t>
      </w:r>
    </w:p>
    <w:p w:rsidR="00755D9E" w:rsidRPr="00FD396A" w:rsidRDefault="00755D9E" w:rsidP="00755D9E">
      <w:pPr>
        <w:pStyle w:val="3"/>
        <w:numPr>
          <w:ilvl w:val="0"/>
          <w:numId w:val="22"/>
        </w:numPr>
        <w:shd w:val="clear" w:color="auto" w:fill="auto"/>
        <w:tabs>
          <w:tab w:val="left" w:pos="851"/>
          <w:tab w:val="left" w:pos="1177"/>
        </w:tabs>
        <w:spacing w:before="0" w:after="0" w:line="240" w:lineRule="auto"/>
        <w:ind w:firstLine="567"/>
        <w:contextualSpacing/>
        <w:jc w:val="both"/>
        <w:rPr>
          <w:sz w:val="22"/>
          <w:szCs w:val="22"/>
        </w:rPr>
      </w:pPr>
      <w:r w:rsidRPr="00FD396A">
        <w:rPr>
          <w:sz w:val="22"/>
          <w:szCs w:val="22"/>
        </w:rPr>
        <w:t>Предметом рассмотрения решения общего собрания на заседании профильной комиссии являются вопросы, связанные с установкой ограждающего устройства:</w:t>
      </w:r>
    </w:p>
    <w:p w:rsidR="00755D9E" w:rsidRPr="00FD396A" w:rsidRDefault="00755D9E" w:rsidP="00755D9E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sz w:val="22"/>
          <w:szCs w:val="22"/>
        </w:rPr>
      </w:pPr>
      <w:r w:rsidRPr="00FD396A">
        <w:rPr>
          <w:sz w:val="22"/>
          <w:szCs w:val="22"/>
        </w:rPr>
        <w:t>1) соблюдение (несоблюдение)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 w:rsidRPr="00FD396A">
        <w:rPr>
          <w:sz w:val="22"/>
          <w:szCs w:val="22"/>
        </w:rPr>
        <w:t>дств пр</w:t>
      </w:r>
      <w:proofErr w:type="gramEnd"/>
      <w:r w:rsidRPr="00FD396A">
        <w:rPr>
          <w:sz w:val="22"/>
          <w:szCs w:val="22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служб;</w:t>
      </w:r>
    </w:p>
    <w:p w:rsidR="00755D9E" w:rsidRPr="00FD396A" w:rsidRDefault="00755D9E" w:rsidP="00755D9E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sz w:val="22"/>
          <w:szCs w:val="22"/>
        </w:rPr>
      </w:pPr>
      <w:r w:rsidRPr="00FD396A">
        <w:rPr>
          <w:rStyle w:val="14"/>
          <w:sz w:val="22"/>
          <w:szCs w:val="22"/>
        </w:rPr>
        <w:t>2)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отсутствие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(создание)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755D9E" w:rsidRPr="00FD396A" w:rsidRDefault="00755D9E" w:rsidP="00755D9E">
      <w:pPr>
        <w:pStyle w:val="3"/>
        <w:numPr>
          <w:ilvl w:val="0"/>
          <w:numId w:val="23"/>
        </w:numPr>
        <w:shd w:val="clear" w:color="auto" w:fill="auto"/>
        <w:tabs>
          <w:tab w:val="left" w:pos="851"/>
          <w:tab w:val="left" w:pos="1158"/>
        </w:tabs>
        <w:spacing w:before="0" w:after="0" w:line="240" w:lineRule="auto"/>
        <w:ind w:firstLine="567"/>
        <w:contextualSpacing/>
        <w:jc w:val="both"/>
        <w:rPr>
          <w:sz w:val="22"/>
          <w:szCs w:val="22"/>
        </w:rPr>
      </w:pPr>
      <w:r w:rsidRPr="00FD396A">
        <w:rPr>
          <w:rStyle w:val="14"/>
          <w:sz w:val="22"/>
          <w:szCs w:val="22"/>
        </w:rPr>
        <w:t>Решение общего собрания и проект решения Совета депутатов о согласовании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установки ограждающего устройства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либо об отказе в согласовании рассматриваются на очередном заседании Совета депутатов.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В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случае если в течение 30 дней со дня поступления решения общего собрания не запланировано проведение очередного заседания Совета депутатов, глава муниципального округа или депутат, исполняющий его полномочия (далее председательствующий),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созывает внеочередное заседание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Совета депутатов.</w:t>
      </w:r>
    </w:p>
    <w:p w:rsidR="00755D9E" w:rsidRPr="00FD396A" w:rsidRDefault="00755D9E" w:rsidP="00755D9E">
      <w:pPr>
        <w:pStyle w:val="3"/>
        <w:numPr>
          <w:ilvl w:val="0"/>
          <w:numId w:val="23"/>
        </w:numPr>
        <w:shd w:val="clear" w:color="auto" w:fill="auto"/>
        <w:tabs>
          <w:tab w:val="left" w:pos="851"/>
          <w:tab w:val="left" w:pos="1738"/>
        </w:tabs>
        <w:spacing w:before="0" w:after="0" w:line="240" w:lineRule="auto"/>
        <w:ind w:left="20" w:firstLine="567"/>
        <w:contextualSpacing/>
        <w:jc w:val="both"/>
        <w:rPr>
          <w:sz w:val="22"/>
          <w:szCs w:val="22"/>
        </w:rPr>
      </w:pPr>
      <w:r w:rsidRPr="00FD396A">
        <w:rPr>
          <w:rStyle w:val="14"/>
          <w:sz w:val="22"/>
          <w:szCs w:val="22"/>
        </w:rPr>
        <w:t>Глава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 xml:space="preserve">муниципального округа (председательствующий) не </w:t>
      </w:r>
      <w:proofErr w:type="gramStart"/>
      <w:r w:rsidRPr="00FD396A">
        <w:rPr>
          <w:rStyle w:val="14"/>
          <w:sz w:val="22"/>
          <w:szCs w:val="22"/>
        </w:rPr>
        <w:t>позднее</w:t>
      </w:r>
      <w:proofErr w:type="gramEnd"/>
      <w:r w:rsidRPr="00FD396A">
        <w:rPr>
          <w:rStyle w:val="14"/>
          <w:sz w:val="22"/>
          <w:szCs w:val="22"/>
        </w:rPr>
        <w:t xml:space="preserve"> чем за 5 дней до дня заседания Совета депутатов информирует уполномоченное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лицо и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главу управы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района</w:t>
      </w:r>
      <w:r w:rsidR="008E30B3" w:rsidRPr="00FD396A">
        <w:rPr>
          <w:rStyle w:val="14"/>
          <w:sz w:val="22"/>
          <w:szCs w:val="22"/>
        </w:rPr>
        <w:t xml:space="preserve"> Западное Дегунино </w:t>
      </w:r>
      <w:r w:rsidRPr="00FD396A">
        <w:rPr>
          <w:rStyle w:val="14"/>
          <w:sz w:val="22"/>
          <w:szCs w:val="22"/>
        </w:rPr>
        <w:t>города Москвы в письменной форме о дате,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времени и месте заседания Совета депутатов по рассмотрению решения общего собрания.</w:t>
      </w:r>
    </w:p>
    <w:p w:rsidR="00755D9E" w:rsidRPr="00FD396A" w:rsidRDefault="00755D9E" w:rsidP="00755D9E">
      <w:pPr>
        <w:pStyle w:val="3"/>
        <w:numPr>
          <w:ilvl w:val="0"/>
          <w:numId w:val="23"/>
        </w:numPr>
        <w:shd w:val="clear" w:color="auto" w:fill="auto"/>
        <w:tabs>
          <w:tab w:val="left" w:pos="851"/>
          <w:tab w:val="left" w:pos="1090"/>
        </w:tabs>
        <w:spacing w:before="0" w:after="0" w:line="240" w:lineRule="auto"/>
        <w:ind w:firstLine="567"/>
        <w:contextualSpacing/>
        <w:jc w:val="both"/>
        <w:rPr>
          <w:sz w:val="22"/>
          <w:szCs w:val="22"/>
        </w:rPr>
      </w:pPr>
      <w:r w:rsidRPr="00FD396A">
        <w:rPr>
          <w:rStyle w:val="14"/>
          <w:sz w:val="22"/>
          <w:szCs w:val="22"/>
        </w:rPr>
        <w:t>По результатам рассмотрения решения общего собрания и заключения профильной комиссии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Совет депутатов открытым голосованием большинством голосов от установленной численности депутатов принимает решение о согласовании установки ограждающего устройства либо об отказе в согласовании.</w:t>
      </w:r>
    </w:p>
    <w:p w:rsidR="00755D9E" w:rsidRPr="00755D9E" w:rsidRDefault="00755D9E" w:rsidP="00755D9E">
      <w:pPr>
        <w:pStyle w:val="a6"/>
        <w:tabs>
          <w:tab w:val="left" w:pos="851"/>
        </w:tabs>
        <w:ind w:left="0" w:firstLine="567"/>
        <w:contextualSpacing/>
        <w:rPr>
          <w:sz w:val="24"/>
          <w:szCs w:val="24"/>
        </w:rPr>
      </w:pPr>
      <w:r w:rsidRPr="00FD396A">
        <w:rPr>
          <w:rStyle w:val="14"/>
          <w:sz w:val="22"/>
          <w:szCs w:val="22"/>
        </w:rPr>
        <w:t>Решение Совета депутатов о согласовании установки ограждающего устройства либо отказе в согласовании направляется главой муниципального округа (председательствующим), уполномоченному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лицу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 xml:space="preserve">и главе управы района </w:t>
      </w:r>
      <w:r w:rsidR="008E30B3" w:rsidRPr="00FD396A">
        <w:rPr>
          <w:rStyle w:val="14"/>
          <w:sz w:val="22"/>
          <w:szCs w:val="22"/>
        </w:rPr>
        <w:t>Западное Дегунино</w:t>
      </w:r>
      <w:r w:rsidRPr="00FD396A">
        <w:rPr>
          <w:rStyle w:val="14"/>
          <w:sz w:val="22"/>
          <w:szCs w:val="22"/>
        </w:rPr>
        <w:tab/>
        <w:t xml:space="preserve"> города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Москвы,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не</w:t>
      </w:r>
      <w:r w:rsidR="008E30B3" w:rsidRPr="00FD396A">
        <w:rPr>
          <w:rStyle w:val="14"/>
          <w:sz w:val="22"/>
          <w:szCs w:val="22"/>
        </w:rPr>
        <w:t xml:space="preserve"> </w:t>
      </w:r>
      <w:r w:rsidRPr="00FD396A">
        <w:rPr>
          <w:rStyle w:val="14"/>
          <w:sz w:val="22"/>
          <w:szCs w:val="22"/>
        </w:rPr>
        <w:t>позднее 5 рабочих дней со дня его принятия.</w:t>
      </w:r>
    </w:p>
    <w:sectPr w:rsidR="00755D9E" w:rsidRPr="00755D9E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97" w:rsidRDefault="00EE6C97" w:rsidP="00A72470">
      <w:r>
        <w:separator/>
      </w:r>
    </w:p>
  </w:endnote>
  <w:endnote w:type="continuationSeparator" w:id="0">
    <w:p w:rsidR="00EE6C97" w:rsidRDefault="00EE6C9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97" w:rsidRDefault="00EE6C97" w:rsidP="00A72470">
      <w:r>
        <w:separator/>
      </w:r>
    </w:p>
  </w:footnote>
  <w:footnote w:type="continuationSeparator" w:id="0">
    <w:p w:rsidR="00EE6C97" w:rsidRDefault="00EE6C9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25DB"/>
    <w:multiLevelType w:val="multilevel"/>
    <w:tmpl w:val="F2FA0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857A6"/>
    <w:multiLevelType w:val="multilevel"/>
    <w:tmpl w:val="CA247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01074B"/>
    <w:multiLevelType w:val="hybridMultilevel"/>
    <w:tmpl w:val="9D92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86D4A"/>
    <w:multiLevelType w:val="multilevel"/>
    <w:tmpl w:val="D34484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33724B"/>
    <w:multiLevelType w:val="hybridMultilevel"/>
    <w:tmpl w:val="DBF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21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8"/>
  </w:num>
  <w:num w:numId="13">
    <w:abstractNumId w:val="4"/>
  </w:num>
  <w:num w:numId="14">
    <w:abstractNumId w:val="10"/>
  </w:num>
  <w:num w:numId="15">
    <w:abstractNumId w:val="9"/>
  </w:num>
  <w:num w:numId="16">
    <w:abstractNumId w:val="19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1"/>
  </w:num>
  <w:num w:numId="22">
    <w:abstractNumId w:val="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004D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1598"/>
    <w:rsid w:val="00192D72"/>
    <w:rsid w:val="00194756"/>
    <w:rsid w:val="0019491D"/>
    <w:rsid w:val="00195C68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322A3"/>
    <w:rsid w:val="002401D8"/>
    <w:rsid w:val="0024114B"/>
    <w:rsid w:val="00244211"/>
    <w:rsid w:val="0026525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21F33"/>
    <w:rsid w:val="004258FA"/>
    <w:rsid w:val="00426B5C"/>
    <w:rsid w:val="00430089"/>
    <w:rsid w:val="00454C14"/>
    <w:rsid w:val="00457605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500CA1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DBC"/>
    <w:rsid w:val="00565FD9"/>
    <w:rsid w:val="005A2344"/>
    <w:rsid w:val="005A299D"/>
    <w:rsid w:val="005A5C31"/>
    <w:rsid w:val="005A669D"/>
    <w:rsid w:val="005B3DE5"/>
    <w:rsid w:val="005B7E01"/>
    <w:rsid w:val="005F223E"/>
    <w:rsid w:val="005F5A13"/>
    <w:rsid w:val="006115D3"/>
    <w:rsid w:val="00614FA3"/>
    <w:rsid w:val="0062484A"/>
    <w:rsid w:val="00653D0A"/>
    <w:rsid w:val="00663F82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6410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55D9E"/>
    <w:rsid w:val="007723C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54C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E30B3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47FA"/>
    <w:rsid w:val="00966C28"/>
    <w:rsid w:val="00981F11"/>
    <w:rsid w:val="009843FE"/>
    <w:rsid w:val="009850E8"/>
    <w:rsid w:val="009A3B9B"/>
    <w:rsid w:val="009A651F"/>
    <w:rsid w:val="009A692A"/>
    <w:rsid w:val="009B24AB"/>
    <w:rsid w:val="009C0B74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66F3C"/>
    <w:rsid w:val="00A70BD4"/>
    <w:rsid w:val="00A72470"/>
    <w:rsid w:val="00A77B07"/>
    <w:rsid w:val="00A8751C"/>
    <w:rsid w:val="00A91553"/>
    <w:rsid w:val="00A92642"/>
    <w:rsid w:val="00AC7259"/>
    <w:rsid w:val="00B01C74"/>
    <w:rsid w:val="00B0469B"/>
    <w:rsid w:val="00B06309"/>
    <w:rsid w:val="00B1709E"/>
    <w:rsid w:val="00B3104B"/>
    <w:rsid w:val="00B34131"/>
    <w:rsid w:val="00B346BE"/>
    <w:rsid w:val="00B35919"/>
    <w:rsid w:val="00B633B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310F"/>
    <w:rsid w:val="00D65FA7"/>
    <w:rsid w:val="00D72159"/>
    <w:rsid w:val="00D93361"/>
    <w:rsid w:val="00D95D2B"/>
    <w:rsid w:val="00DA0220"/>
    <w:rsid w:val="00DA1098"/>
    <w:rsid w:val="00DA2B0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BDA"/>
    <w:rsid w:val="00E7059C"/>
    <w:rsid w:val="00E71DB3"/>
    <w:rsid w:val="00E85EAA"/>
    <w:rsid w:val="00E8727D"/>
    <w:rsid w:val="00E87293"/>
    <w:rsid w:val="00E9123C"/>
    <w:rsid w:val="00E95914"/>
    <w:rsid w:val="00EB33BB"/>
    <w:rsid w:val="00EB47DF"/>
    <w:rsid w:val="00EC5C53"/>
    <w:rsid w:val="00EE41BF"/>
    <w:rsid w:val="00EE6C97"/>
    <w:rsid w:val="00F176F4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396A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(2)_"/>
    <w:basedOn w:val="a0"/>
    <w:link w:val="21"/>
    <w:rsid w:val="0056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Основной текст_"/>
    <w:basedOn w:val="a0"/>
    <w:link w:val="3"/>
    <w:rsid w:val="0056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5DB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f5"/>
    <w:rsid w:val="00565DBC"/>
    <w:pPr>
      <w:shd w:val="clear" w:color="auto" w:fill="FFFFFF"/>
      <w:spacing w:before="420" w:after="6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755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"/>
    <w:basedOn w:val="af5"/>
    <w:rsid w:val="00755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55D9E"/>
    <w:pPr>
      <w:shd w:val="clear" w:color="auto" w:fill="FFFFFF"/>
      <w:spacing w:before="300" w:line="317" w:lineRule="exact"/>
      <w:ind w:hanging="720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(2)_"/>
    <w:basedOn w:val="a0"/>
    <w:link w:val="21"/>
    <w:rsid w:val="0056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Основной текст_"/>
    <w:basedOn w:val="a0"/>
    <w:link w:val="3"/>
    <w:rsid w:val="0056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5DB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f5"/>
    <w:rsid w:val="00565DBC"/>
    <w:pPr>
      <w:shd w:val="clear" w:color="auto" w:fill="FFFFFF"/>
      <w:spacing w:before="420" w:after="6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755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"/>
    <w:basedOn w:val="af5"/>
    <w:rsid w:val="00755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55D9E"/>
    <w:pPr>
      <w:shd w:val="clear" w:color="auto" w:fill="FFFFFF"/>
      <w:spacing w:before="300" w:line="317" w:lineRule="exact"/>
      <w:ind w:hanging="720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892E-FB83-40F3-9431-9439D073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2013-09-10T10:32:00Z</cp:lastPrinted>
  <dcterms:created xsi:type="dcterms:W3CDTF">2012-11-01T05:05:00Z</dcterms:created>
  <dcterms:modified xsi:type="dcterms:W3CDTF">2013-12-11T04:52:00Z</dcterms:modified>
</cp:coreProperties>
</file>